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9B017" w14:textId="77777777" w:rsidR="0003269A" w:rsidRPr="0003269A" w:rsidRDefault="0003269A" w:rsidP="0003269A">
      <w:pPr>
        <w:jc w:val="both"/>
        <w:rPr>
          <w:rFonts w:ascii="Garamond" w:hAnsi="Garamond"/>
          <w:sz w:val="24"/>
          <w:szCs w:val="24"/>
        </w:rPr>
      </w:pPr>
      <w:r w:rsidRPr="0003269A">
        <w:rPr>
          <w:rFonts w:ascii="Garamond" w:hAnsi="Garamond"/>
          <w:b/>
          <w:bCs/>
          <w:sz w:val="24"/>
          <w:szCs w:val="24"/>
        </w:rPr>
        <w:t>Dr. Tariq’s Rheumatology</w:t>
      </w:r>
      <w:r w:rsidRPr="0003269A">
        <w:rPr>
          <w:rFonts w:ascii="Garamond" w:hAnsi="Garamond"/>
          <w:sz w:val="24"/>
          <w:szCs w:val="24"/>
        </w:rPr>
        <w:t xml:space="preserve"> envisions a transformative future in which people across Khyber Pakhtunkhwa and Pakistan have access to world-class rheumatology care. Rheumatic and musculoskeletal diseases remain significantly underdiagnosed and underserved worldwide—particularly in developing regions such as KP—resulting in preventable disability and a diminished quality of life.</w:t>
      </w:r>
    </w:p>
    <w:p w14:paraId="22852079" w14:textId="77777777" w:rsidR="0003269A" w:rsidRPr="0003269A" w:rsidRDefault="0003269A" w:rsidP="0003269A">
      <w:pPr>
        <w:jc w:val="both"/>
        <w:rPr>
          <w:rFonts w:ascii="Garamond" w:hAnsi="Garamond"/>
          <w:sz w:val="24"/>
          <w:szCs w:val="24"/>
        </w:rPr>
      </w:pPr>
      <w:r w:rsidRPr="0003269A">
        <w:rPr>
          <w:rFonts w:ascii="Garamond" w:hAnsi="Garamond"/>
          <w:sz w:val="24"/>
          <w:szCs w:val="24"/>
        </w:rPr>
        <w:t>Central to this vision is the expansion of the current clinic into a state-of-the-art Centre for Rheumatic and Musculoskeletal Diseases. This proposed centre will integrate advanced diagnostic and therapeutic facilities, including a biologics infusion unit, DXA bone densitometry, and MRI services, to enhance both diagnosis and management. Additionally, the establishment of a dedicated laboratory equipped with a polarizing microscope will further strengthen diagnostic precision.</w:t>
      </w:r>
    </w:p>
    <w:p w14:paraId="683B8BAF" w14:textId="77777777" w:rsidR="0003269A" w:rsidRPr="0003269A" w:rsidRDefault="0003269A" w:rsidP="0003269A">
      <w:pPr>
        <w:jc w:val="both"/>
        <w:rPr>
          <w:rFonts w:ascii="Garamond" w:hAnsi="Garamond"/>
          <w:sz w:val="24"/>
          <w:szCs w:val="24"/>
        </w:rPr>
      </w:pPr>
      <w:r w:rsidRPr="0003269A">
        <w:rPr>
          <w:rFonts w:ascii="Garamond" w:hAnsi="Garamond"/>
          <w:sz w:val="24"/>
          <w:szCs w:val="24"/>
        </w:rPr>
        <w:t>A key pillar of this initiative is collaboration—bringing together young rheumatologists and allied specialists to work in close liaison, ensuring the delivery of evidence-based, precision medicine at the highest standard.</w:t>
      </w:r>
    </w:p>
    <w:p w14:paraId="4F6AAE96" w14:textId="77777777" w:rsidR="0003269A" w:rsidRPr="0003269A" w:rsidRDefault="0003269A" w:rsidP="0003269A">
      <w:pPr>
        <w:jc w:val="both"/>
        <w:rPr>
          <w:rFonts w:ascii="Garamond" w:hAnsi="Garamond"/>
          <w:sz w:val="24"/>
          <w:szCs w:val="24"/>
        </w:rPr>
      </w:pPr>
      <w:r w:rsidRPr="0003269A">
        <w:rPr>
          <w:rFonts w:ascii="Garamond" w:hAnsi="Garamond"/>
          <w:sz w:val="24"/>
          <w:szCs w:val="24"/>
        </w:rPr>
        <w:t>Realizing this vision will require strategic partnerships with key stakeholders, including the pharmaceutical industry and the private sector. Their support will be critical in building a sustainable, high-quality rheumatology care system that meets the growing needs of the population.</w:t>
      </w:r>
    </w:p>
    <w:p w14:paraId="6154CAFA" w14:textId="77777777" w:rsidR="00086D3A" w:rsidRDefault="00086D3A"/>
    <w:sectPr w:rsidR="00086D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69A"/>
    <w:rsid w:val="0003269A"/>
    <w:rsid w:val="00086D3A"/>
    <w:rsid w:val="000879D7"/>
    <w:rsid w:val="0024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D70C5"/>
  <w15:chartTrackingRefBased/>
  <w15:docId w15:val="{D6F34D81-9A69-4846-8732-ADBE962CA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26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6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69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6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69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6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6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6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6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69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69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69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69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69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6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6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6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6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6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26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6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26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6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26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6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269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69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69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69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Iqbal</dc:creator>
  <cp:keywords/>
  <dc:description/>
  <cp:lastModifiedBy>Tariq Iqbal</cp:lastModifiedBy>
  <cp:revision>1</cp:revision>
  <dcterms:created xsi:type="dcterms:W3CDTF">2026-04-11T09:37:00Z</dcterms:created>
  <dcterms:modified xsi:type="dcterms:W3CDTF">2026-04-11T09:39:00Z</dcterms:modified>
</cp:coreProperties>
</file>